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280"/>
        <w:gridCol w:w="1880"/>
        <w:gridCol w:w="3000"/>
        <w:gridCol w:w="260"/>
        <w:gridCol w:w="2520"/>
      </w:tblGrid>
      <w:tr w:rsidR="00FA6EA8" w14:paraId="5406C3A4" w14:textId="77777777">
        <w:trPr>
          <w:gridAfter w:val="4"/>
          <w:wAfter w:w="6320" w:type="dxa"/>
        </w:trPr>
        <w:tc>
          <w:tcPr>
            <w:tcW w:w="26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7359BED6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Type of Meeting:  SET</w:t>
            </w:r>
          </w:p>
        </w:tc>
      </w:tr>
      <w:tr w:rsidR="00FA6EA8" w14:paraId="5E396EAE" w14:textId="77777777">
        <w:tc>
          <w:tcPr>
            <w:tcW w:w="26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2D061AA8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6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54FB16BF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June 15 2016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3FA472B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shd w:val="clear" w:color="auto" w:fill="EBEBEB"/>
            <w:tcMar>
              <w:left w:w="60" w:type="nil"/>
              <w:bottom w:w="60" w:type="nil"/>
            </w:tcMar>
          </w:tcPr>
          <w:p w14:paraId="22D24581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"/>
              <w:gridCol w:w="2520"/>
            </w:tblGrid>
            <w:tr w:rsidR="00FA6EA8" w14:paraId="281F80E9" w14:textId="77777777">
              <w:tc>
                <w:tcPr>
                  <w:tcW w:w="260" w:type="dxa"/>
                  <w:tcBorders>
                    <w:top w:val="single" w:sz="8" w:space="0" w:color="BCBEC1"/>
                    <w:left w:val="single" w:sz="8" w:space="0" w:color="BCBEC1"/>
                    <w:bottom w:val="single" w:sz="8" w:space="0" w:color="BCBEC1"/>
                    <w:right w:val="single" w:sz="8" w:space="0" w:color="BCBEC1"/>
                  </w:tcBorders>
                  <w:shd w:val="clear" w:color="auto" w:fill="EBEBEB"/>
                  <w:tcMar>
                    <w:left w:w="60" w:type="nil"/>
                    <w:bottom w:w="60" w:type="nil"/>
                  </w:tcMar>
                </w:tcPr>
                <w:p w14:paraId="77C129F8" w14:textId="77777777" w:rsidR="00FA6EA8" w:rsidRDefault="00FA6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BCBEC1"/>
                    <w:left w:val="single" w:sz="8" w:space="0" w:color="BCBEC1"/>
                    <w:bottom w:val="single" w:sz="8" w:space="0" w:color="BCBEC1"/>
                    <w:right w:val="single" w:sz="8" w:space="0" w:color="BCBEC1"/>
                  </w:tcBorders>
                  <w:shd w:val="clear" w:color="auto" w:fill="EBEBEB"/>
                  <w:tcMar>
                    <w:left w:w="60" w:type="nil"/>
                    <w:bottom w:w="60" w:type="nil"/>
                  </w:tcMar>
                </w:tcPr>
                <w:p w14:paraId="48741391" w14:textId="77777777" w:rsidR="00FA6EA8" w:rsidRDefault="00FA6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30"/>
                      <w:szCs w:val="30"/>
                    </w:rPr>
                    <w:t>7 Norms of Collaboration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5BA13F50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FA6EA8" w14:paraId="468CF588" w14:textId="77777777">
        <w:tc>
          <w:tcPr>
            <w:tcW w:w="26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28C53C8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Attendees:   </w:t>
            </w:r>
          </w:p>
          <w:p w14:paraId="7C76D407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MG, KB, RC, AT </w:t>
            </w:r>
          </w:p>
          <w:p w14:paraId="75B10F78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  <w:p w14:paraId="24AB6369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Regrets:  </w:t>
            </w:r>
          </w:p>
          <w:p w14:paraId="5E116D83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JS </w:t>
            </w:r>
          </w:p>
        </w:tc>
        <w:tc>
          <w:tcPr>
            <w:tcW w:w="260" w:type="dxa"/>
            <w:gridSpan w:val="2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DA32789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6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73090A7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5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D2A475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0"/>
              <w:gridCol w:w="2520"/>
            </w:tblGrid>
            <w:tr w:rsidR="00FA6EA8" w14:paraId="33CFE81E" w14:textId="77777777">
              <w:tc>
                <w:tcPr>
                  <w:tcW w:w="260" w:type="dxa"/>
                  <w:tcBorders>
                    <w:top w:val="single" w:sz="8" w:space="0" w:color="BCBEC1"/>
                    <w:left w:val="single" w:sz="8" w:space="0" w:color="BCBEC1"/>
                    <w:bottom w:val="single" w:sz="8" w:space="0" w:color="BCBEC1"/>
                    <w:right w:val="single" w:sz="8" w:space="0" w:color="BCBEC1"/>
                  </w:tcBorders>
                  <w:tcMar>
                    <w:left w:w="60" w:type="nil"/>
                    <w:bottom w:w="60" w:type="nil"/>
                  </w:tcMar>
                </w:tcPr>
                <w:p w14:paraId="5A007574" w14:textId="77777777" w:rsidR="00FA6EA8" w:rsidRDefault="00FA6E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single" w:sz="8" w:space="0" w:color="BCBEC1"/>
                    <w:left w:val="single" w:sz="8" w:space="0" w:color="BCBEC1"/>
                    <w:bottom w:val="single" w:sz="8" w:space="0" w:color="BCBEC1"/>
                    <w:right w:val="single" w:sz="8" w:space="0" w:color="BCBEC1"/>
                  </w:tcBorders>
                  <w:tcMar>
                    <w:left w:w="60" w:type="nil"/>
                    <w:bottom w:w="60" w:type="nil"/>
                  </w:tcMar>
                </w:tcPr>
                <w:p w14:paraId="5EA6C5AB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Pausing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3EFA2BDB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Paraphrasing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1E713844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Putting Inquiry at the Centre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78885C05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Probing for Specificity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223F2B6C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Placing Ideas on the Table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6C718E98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Paying Attention to Self &amp; Others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  <w:p w14:paraId="5B785E8B" w14:textId="77777777" w:rsidR="00FA6EA8" w:rsidRDefault="00FA6EA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sz w:val="30"/>
                      <w:szCs w:val="30"/>
                    </w:rPr>
                    <w:t>Presuming Positive Intentions</w:t>
                  </w:r>
                  <w:r>
                    <w:rPr>
                      <w:rFonts w:ascii="Helvetica" w:hAnsi="Helvetica" w:cs="Helvetica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4A0896C6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FA6EA8" w14:paraId="15AD762A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8B446D0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Agenda: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70D5C53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Choose norm of collaboration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69BAFEC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  <w:r>
              <w:rPr>
                <w:rFonts w:ascii="Helvetica" w:hAnsi="Helvetica" w:cs="Helvetica"/>
                <w:i/>
                <w:iCs/>
                <w:sz w:val="30"/>
                <w:szCs w:val="30"/>
              </w:rPr>
              <w:t>Probing for Specificity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DB8CD6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</w:tr>
      <w:tr w:rsidR="00FA6EA8" w14:paraId="1EE9C679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A9AD923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188F02D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Item: 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D72CDB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Intention: </w:t>
            </w:r>
            <w:r>
              <w:rPr>
                <w:rFonts w:ascii="Helvetica" w:hAnsi="Helvetica" w:cs="Helvetica"/>
                <w:sz w:val="30"/>
                <w:szCs w:val="30"/>
              </w:rPr>
              <w:t>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84B618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30"/>
                <w:szCs w:val="30"/>
              </w:rPr>
              <w:t>Description / By Whom / When</w:t>
            </w:r>
            <w:r>
              <w:rPr>
                <w:rFonts w:ascii="Helvetica" w:hAnsi="Helvetica" w:cs="Helvetica"/>
                <w:sz w:val="30"/>
                <w:szCs w:val="30"/>
              </w:rPr>
              <w:t>  </w:t>
            </w:r>
          </w:p>
        </w:tc>
      </w:tr>
      <w:tr w:rsidR="00FA6EA8" w14:paraId="6AA965A7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96FD38C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1. 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2134F31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Library Duty and gaming room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9D1E084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Clarify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639F205C" w14:textId="4358DC2A" w:rsidR="00FA6EA8" w:rsidRDefault="00FA6EA8" w:rsidP="005733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 xml:space="preserve">The current plan is to shift the student “gaming room” to the Drama classroom. The person on-duty in the PAC Foyer will be responsible for this area during the first ½ of lunch. </w:t>
            </w:r>
            <w:r w:rsidR="00573329">
              <w:rPr>
                <w:rFonts w:ascii="Helvetica" w:hAnsi="Helvetica" w:cs="Helvetica"/>
                <w:sz w:val="30"/>
                <w:szCs w:val="30"/>
              </w:rPr>
              <w:lastRenderedPageBreak/>
              <w:t>S</w:t>
            </w:r>
            <w:r>
              <w:rPr>
                <w:rFonts w:ascii="Helvetica" w:hAnsi="Helvetica" w:cs="Helvetica"/>
                <w:sz w:val="30"/>
                <w:szCs w:val="30"/>
              </w:rPr>
              <w:t>tudent supervision in the Library during lunch and break</w:t>
            </w:r>
            <w:r w:rsidR="00573329">
              <w:rPr>
                <w:rFonts w:ascii="Helvetica" w:hAnsi="Helvetica" w:cs="Helvetica"/>
                <w:sz w:val="30"/>
                <w:szCs w:val="30"/>
              </w:rPr>
              <w:t xml:space="preserve"> is under review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. TBC in August INSET. </w:t>
            </w:r>
          </w:p>
        </w:tc>
      </w:tr>
      <w:tr w:rsidR="00FA6EA8" w14:paraId="73586416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FAD97A6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lastRenderedPageBreak/>
              <w:t>2 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19FAF4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Students in school after hours/weekend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614B0F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Reflect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2D653C5" w14:textId="6A1242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Student access guidelines to be shared and reevaluated at the start of</w:t>
            </w:r>
            <w:r w:rsidR="00573329">
              <w:rPr>
                <w:rFonts w:ascii="Helvetica" w:hAnsi="Helvetica" w:cs="Helvetica"/>
                <w:sz w:val="30"/>
                <w:szCs w:val="30"/>
              </w:rPr>
              <w:t xml:space="preserve"> the year. Concerns about after-</w:t>
            </w:r>
            <w:r>
              <w:rPr>
                <w:rFonts w:ascii="Helvetica" w:hAnsi="Helvetica" w:cs="Helvetica"/>
                <w:sz w:val="30"/>
                <w:szCs w:val="30"/>
              </w:rPr>
              <w:t>hours pool access passed to SLT.</w:t>
            </w:r>
          </w:p>
        </w:tc>
      </w:tr>
      <w:tr w:rsidR="00FA6EA8" w14:paraId="5C918E96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10490B0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3. 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72F81AF" w14:textId="77777777" w:rsidR="00FA6EA8" w:rsidRDefault="00FA6EA8" w:rsidP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Launch Days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048EF6F0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Decide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BA3F8ED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August INSET schedule finalized. To be shared by early August. Bookings underway.</w:t>
            </w:r>
          </w:p>
        </w:tc>
      </w:tr>
      <w:tr w:rsidR="00FA6EA8" w14:paraId="072E606A" w14:textId="7777777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5717FF4F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4. 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EAA6C57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VC open for assignment criterion marks in the MYP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B0B1BFF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Share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743DF008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Student, teacher, and parent survey feedback around marks being available on Veracross were positive. A plan to scale this prototype throughout the MYP to be shared in the August INSET.</w:t>
            </w:r>
          </w:p>
        </w:tc>
      </w:tr>
      <w:tr w:rsidR="00FA6EA8" w14:paraId="655DB4A9" w14:textId="77777777">
        <w:tblPrEx>
          <w:tblBorders>
            <w:top w:val="none" w:sz="0" w:space="0" w:color="auto"/>
          </w:tblBorders>
        </w:tblPrEx>
        <w:trPr>
          <w:gridAfter w:val="2"/>
          <w:wAfter w:w="1440" w:type="dxa"/>
        </w:trPr>
        <w:tc>
          <w:tcPr>
            <w:tcW w:w="182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19357F94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5. </w:t>
            </w:r>
          </w:p>
        </w:tc>
        <w:tc>
          <w:tcPr>
            <w:tcW w:w="22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346C05AB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Opening Day Schedule </w:t>
            </w:r>
          </w:p>
        </w:tc>
        <w:tc>
          <w:tcPr>
            <w:tcW w:w="188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2F222DBD" w14:textId="77777777" w:rsidR="00FA6EA8" w:rsidRDefault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>Decide </w:t>
            </w:r>
          </w:p>
        </w:tc>
        <w:tc>
          <w:tcPr>
            <w:tcW w:w="3000" w:type="dxa"/>
            <w:tcBorders>
              <w:top w:val="single" w:sz="8" w:space="0" w:color="BCBEC1"/>
              <w:left w:val="single" w:sz="8" w:space="0" w:color="BCBEC1"/>
              <w:bottom w:val="single" w:sz="8" w:space="0" w:color="BCBEC1"/>
              <w:right w:val="single" w:sz="8" w:space="0" w:color="BCBEC1"/>
            </w:tcBorders>
            <w:tcMar>
              <w:left w:w="60" w:type="nil"/>
              <w:bottom w:w="60" w:type="nil"/>
            </w:tcMar>
          </w:tcPr>
          <w:p w14:paraId="4D41837A" w14:textId="2C0B0A53" w:rsidR="00FA6EA8" w:rsidRDefault="00573329" w:rsidP="00FA6EA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Helvetica" w:hAnsi="Helvetica" w:cs="Helvetica"/>
                <w:sz w:val="30"/>
                <w:szCs w:val="30"/>
              </w:rPr>
              <w:t xml:space="preserve">The </w:t>
            </w:r>
            <w:r w:rsidR="00FA6EA8">
              <w:rPr>
                <w:rFonts w:ascii="Helvetica" w:hAnsi="Helvetica" w:cs="Helvetica"/>
                <w:sz w:val="30"/>
                <w:szCs w:val="30"/>
              </w:rPr>
              <w:t>Opening Day Schedule</w:t>
            </w:r>
            <w:r>
              <w:rPr>
                <w:rFonts w:ascii="Helvetica" w:hAnsi="Helvetica" w:cs="Helvetica"/>
                <w:sz w:val="30"/>
                <w:szCs w:val="30"/>
              </w:rPr>
              <w:t xml:space="preserve"> for New Students and G.6’s</w:t>
            </w:r>
            <w:bookmarkStart w:id="0" w:name="_GoBack"/>
            <w:bookmarkEnd w:id="0"/>
            <w:r w:rsidR="00FA6EA8">
              <w:rPr>
                <w:rFonts w:ascii="Helvetica" w:hAnsi="Helvetica" w:cs="Helvetica"/>
                <w:sz w:val="30"/>
                <w:szCs w:val="30"/>
              </w:rPr>
              <w:t xml:space="preserve"> is being finalized. Busses to run on the day. Communication to parents underway.</w:t>
            </w:r>
          </w:p>
        </w:tc>
      </w:tr>
    </w:tbl>
    <w:p w14:paraId="56E8B353" w14:textId="77777777" w:rsidR="000D4C13" w:rsidRDefault="00573329"/>
    <w:sectPr w:rsidR="000D4C13" w:rsidSect="0037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8"/>
    <w:rsid w:val="00374C15"/>
    <w:rsid w:val="00573329"/>
    <w:rsid w:val="005A1356"/>
    <w:rsid w:val="0067084D"/>
    <w:rsid w:val="008B3F05"/>
    <w:rsid w:val="00915C04"/>
    <w:rsid w:val="00E95737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98E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2</cp:revision>
  <dcterms:created xsi:type="dcterms:W3CDTF">2016-06-16T08:12:00Z</dcterms:created>
  <dcterms:modified xsi:type="dcterms:W3CDTF">2016-06-16T10:50:00Z</dcterms:modified>
</cp:coreProperties>
</file>